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AA3" w14:textId="41910F45" w:rsidR="00295EAD" w:rsidRPr="00DE5687" w:rsidRDefault="00295EAD" w:rsidP="003E60F5">
      <w:pPr>
        <w:jc w:val="center"/>
        <w:rPr>
          <w:rFonts w:ascii="Times New Roman" w:hAnsi="Times New Roman" w:cs="Times New Roman"/>
          <w:b/>
          <w:bCs/>
          <w:u w:val="single"/>
          <w:lang w:val="es-ES"/>
        </w:rPr>
      </w:pPr>
      <w:r w:rsidRPr="00DE5687">
        <w:rPr>
          <w:rFonts w:ascii="Times New Roman" w:hAnsi="Times New Roman" w:cs="Times New Roman"/>
          <w:b/>
          <w:bCs/>
          <w:u w:val="single"/>
          <w:lang w:val="es-ES"/>
        </w:rPr>
        <w:t>Acta de la reunión de GIDE</w:t>
      </w:r>
      <w:r w:rsidR="003E60F5" w:rsidRPr="00DE5687">
        <w:rPr>
          <w:rFonts w:ascii="Times New Roman" w:hAnsi="Times New Roman" w:cs="Times New Roman"/>
          <w:b/>
          <w:bCs/>
          <w:u w:val="single"/>
          <w:lang w:val="es-ES"/>
        </w:rPr>
        <w:t>: Asamblea General</w:t>
      </w:r>
    </w:p>
    <w:p w14:paraId="6F51000D" w14:textId="117BD9FA" w:rsidR="00295EAD" w:rsidRPr="00DE5687" w:rsidRDefault="00295EAD">
      <w:pPr>
        <w:rPr>
          <w:rFonts w:ascii="Times New Roman" w:hAnsi="Times New Roman" w:cs="Times New Roman"/>
          <w:lang w:val="es-ES"/>
        </w:rPr>
      </w:pPr>
    </w:p>
    <w:p w14:paraId="57660AFC" w14:textId="31566B87" w:rsidR="00295EAD" w:rsidRPr="00DE5687" w:rsidRDefault="00295EAD">
      <w:pPr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 xml:space="preserve">Fecha: </w:t>
      </w:r>
      <w:r w:rsidR="00CC6834" w:rsidRPr="00DE5687">
        <w:rPr>
          <w:rFonts w:ascii="Times New Roman" w:hAnsi="Times New Roman" w:cs="Times New Roman"/>
          <w:lang w:val="es-ES"/>
        </w:rPr>
        <w:t>13 de mayo de</w:t>
      </w:r>
      <w:r w:rsidRPr="00DE5687">
        <w:rPr>
          <w:rFonts w:ascii="Times New Roman" w:hAnsi="Times New Roman" w:cs="Times New Roman"/>
          <w:lang w:val="es-ES"/>
        </w:rPr>
        <w:t xml:space="preserve"> 2022</w:t>
      </w:r>
    </w:p>
    <w:p w14:paraId="6CE98D16" w14:textId="42CC2454" w:rsidR="00295EAD" w:rsidRPr="00DE5687" w:rsidRDefault="00295EAD">
      <w:pPr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Lugar: reunión virtual a través de Zoom</w:t>
      </w:r>
    </w:p>
    <w:p w14:paraId="2C9A7512" w14:textId="3347E951" w:rsidR="00295EAD" w:rsidRPr="00DE5687" w:rsidRDefault="00295EAD">
      <w:pPr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Horario: 18:30-20:30</w:t>
      </w:r>
    </w:p>
    <w:p w14:paraId="68CE84AA" w14:textId="77777777" w:rsidR="00295EAD" w:rsidRPr="00DE5687" w:rsidRDefault="00295EAD">
      <w:pPr>
        <w:rPr>
          <w:rFonts w:ascii="Times New Roman" w:hAnsi="Times New Roman" w:cs="Times New Roman"/>
          <w:lang w:val="es-ES"/>
        </w:rPr>
      </w:pPr>
    </w:p>
    <w:p w14:paraId="0F0BC52D" w14:textId="117156FC" w:rsidR="009B4DD2" w:rsidRPr="00DE5687" w:rsidRDefault="00295EAD">
      <w:pPr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 xml:space="preserve">Asistentes: </w:t>
      </w:r>
      <w:r w:rsidR="008C0A04" w:rsidRPr="00DE5687">
        <w:rPr>
          <w:rFonts w:ascii="Times New Roman" w:hAnsi="Times New Roman" w:cs="Times New Roman"/>
          <w:lang w:val="es-ES"/>
        </w:rPr>
        <w:t xml:space="preserve">Sayaka Nakajima, Concha Moreno, Hiroko Omori, </w:t>
      </w:r>
      <w:r w:rsidR="005032E7" w:rsidRPr="00DE5687">
        <w:rPr>
          <w:rFonts w:ascii="Times New Roman" w:hAnsi="Times New Roman" w:cs="Times New Roman"/>
          <w:lang w:val="es-ES"/>
        </w:rPr>
        <w:t xml:space="preserve">Adiene </w:t>
      </w:r>
      <w:r w:rsidR="005032E7" w:rsidRPr="00E94C07">
        <w:rPr>
          <w:rFonts w:ascii="Times New Roman" w:hAnsi="Times New Roman" w:cs="Times New Roman"/>
          <w:lang w:val="es-ES"/>
        </w:rPr>
        <w:t>Roque</w:t>
      </w:r>
      <w:r w:rsidR="008C0A04" w:rsidRPr="00E94C07">
        <w:rPr>
          <w:rFonts w:ascii="Times New Roman" w:hAnsi="Times New Roman" w:cs="Times New Roman"/>
          <w:lang w:val="es-ES"/>
        </w:rPr>
        <w:t>,</w:t>
      </w:r>
      <w:r w:rsidR="008C0A04" w:rsidRPr="00DE5687">
        <w:rPr>
          <w:rFonts w:ascii="Times New Roman" w:hAnsi="Times New Roman" w:cs="Times New Roman"/>
          <w:lang w:val="es-ES"/>
        </w:rPr>
        <w:t xml:space="preserve"> Violetta B</w:t>
      </w:r>
      <w:r w:rsidR="007E2F6C" w:rsidRPr="00DE5687">
        <w:rPr>
          <w:rFonts w:ascii="Times New Roman" w:hAnsi="Times New Roman" w:cs="Times New Roman"/>
          <w:lang w:val="es-ES"/>
        </w:rPr>
        <w:t>razhnikova</w:t>
      </w:r>
      <w:r w:rsidR="008C0A04" w:rsidRPr="00DE5687">
        <w:rPr>
          <w:rFonts w:ascii="Times New Roman" w:hAnsi="Times New Roman" w:cs="Times New Roman"/>
          <w:lang w:val="es-ES"/>
        </w:rPr>
        <w:t>, Keiko Nitta,</w:t>
      </w:r>
      <w:r w:rsidR="00113D83" w:rsidRPr="00DE5687">
        <w:rPr>
          <w:rFonts w:ascii="Times New Roman" w:hAnsi="Times New Roman" w:cs="Times New Roman"/>
          <w:lang w:val="es-ES"/>
        </w:rPr>
        <w:t xml:space="preserve"> Carmen Ondozábal, Mayuko Ogura</w:t>
      </w:r>
      <w:r w:rsidR="00CC6834" w:rsidRPr="00DE5687">
        <w:rPr>
          <w:rFonts w:ascii="Times New Roman" w:hAnsi="Times New Roman" w:cs="Times New Roman"/>
          <w:lang w:val="es-ES"/>
        </w:rPr>
        <w:t>, Álvaro</w:t>
      </w:r>
      <w:r w:rsidRPr="00DE5687">
        <w:rPr>
          <w:rFonts w:ascii="Times New Roman" w:hAnsi="Times New Roman" w:cs="Times New Roman"/>
          <w:lang w:val="es-ES"/>
        </w:rPr>
        <w:t xml:space="preserve"> </w:t>
      </w:r>
      <w:r w:rsidR="00CC6834" w:rsidRPr="00DE5687">
        <w:rPr>
          <w:rFonts w:ascii="Times New Roman" w:hAnsi="Times New Roman" w:cs="Times New Roman"/>
          <w:lang w:val="es-ES"/>
        </w:rPr>
        <w:t xml:space="preserve">Vento, María Dolores Pérez </w:t>
      </w:r>
      <w:r w:rsidRPr="00DE5687">
        <w:rPr>
          <w:rFonts w:ascii="Times New Roman" w:hAnsi="Times New Roman" w:cs="Times New Roman"/>
          <w:lang w:val="es-ES"/>
        </w:rPr>
        <w:t>y Angustias de Arcos.</w:t>
      </w:r>
      <w:r w:rsidR="00113D83" w:rsidRPr="00DE5687">
        <w:rPr>
          <w:rFonts w:ascii="Times New Roman" w:hAnsi="Times New Roman" w:cs="Times New Roman"/>
          <w:lang w:val="es-ES"/>
        </w:rPr>
        <w:t xml:space="preserve"> </w:t>
      </w:r>
    </w:p>
    <w:p w14:paraId="6A87A15A" w14:textId="44A9316B" w:rsidR="00CC6834" w:rsidRPr="00DE5687" w:rsidRDefault="009B4DD2">
      <w:pPr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También</w:t>
      </w:r>
      <w:r w:rsidR="00CC6834" w:rsidRPr="00DE5687">
        <w:rPr>
          <w:rFonts w:ascii="Times New Roman" w:hAnsi="Times New Roman" w:cs="Times New Roman"/>
          <w:lang w:val="es-ES"/>
        </w:rPr>
        <w:t xml:space="preserve"> se dio la bienvenida a Mayu Horie, presentada por Kimi</w:t>
      </w:r>
      <w:r w:rsidR="005E04DB" w:rsidRPr="00DE5687">
        <w:rPr>
          <w:rFonts w:ascii="Times New Roman" w:hAnsi="Times New Roman" w:cs="Times New Roman"/>
          <w:lang w:val="es-ES"/>
        </w:rPr>
        <w:t xml:space="preserve"> Nishimura</w:t>
      </w:r>
    </w:p>
    <w:p w14:paraId="7F634988" w14:textId="1F08EFAD" w:rsidR="00113D83" w:rsidRPr="00DE5687" w:rsidRDefault="00113D83">
      <w:pPr>
        <w:rPr>
          <w:rFonts w:ascii="Times New Roman" w:hAnsi="Times New Roman" w:cs="Times New Roman"/>
          <w:lang w:val="es-ES"/>
        </w:rPr>
      </w:pPr>
    </w:p>
    <w:p w14:paraId="4DE71F71" w14:textId="32CCD2C3" w:rsidR="00120225" w:rsidRPr="00DE5687" w:rsidRDefault="005E04DB" w:rsidP="00120225">
      <w:pPr>
        <w:pStyle w:val="Prrafodelista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lang w:val="es-ES"/>
        </w:rPr>
      </w:pPr>
      <w:r w:rsidRPr="00DE5687">
        <w:rPr>
          <w:rFonts w:ascii="Times New Roman" w:hAnsi="Times New Roman" w:cs="Times New Roman"/>
          <w:b/>
          <w:bCs/>
          <w:lang w:val="es-ES"/>
        </w:rPr>
        <w:t xml:space="preserve">Modificación de </w:t>
      </w:r>
      <w:r w:rsidR="005D7742" w:rsidRPr="00DE5687">
        <w:rPr>
          <w:rFonts w:ascii="Times New Roman" w:hAnsi="Times New Roman" w:cs="Times New Roman"/>
          <w:b/>
          <w:bCs/>
          <w:lang w:val="es-ES"/>
        </w:rPr>
        <w:t xml:space="preserve">los artículos III, IV y anejo </w:t>
      </w:r>
      <w:r w:rsidRPr="00DE5687">
        <w:rPr>
          <w:rFonts w:ascii="Times New Roman" w:hAnsi="Times New Roman" w:cs="Times New Roman"/>
          <w:b/>
          <w:bCs/>
          <w:lang w:val="es-ES"/>
        </w:rPr>
        <w:t>de los Estatutos</w:t>
      </w:r>
    </w:p>
    <w:p w14:paraId="1B9C2E72" w14:textId="345C058E" w:rsidR="007408E9" w:rsidRPr="00DE5687" w:rsidRDefault="005E04DB" w:rsidP="00120225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 Junta Directiva presentó un borrador que, después de la puesta en común y nuevas sugerencias, quedó aprobado como sigue</w:t>
      </w:r>
      <w:r w:rsidR="00120225" w:rsidRPr="00DE5687">
        <w:rPr>
          <w:rFonts w:ascii="Times New Roman" w:hAnsi="Times New Roman" w:cs="Times New Roman"/>
          <w:lang w:val="es-ES"/>
        </w:rPr>
        <w:t>:</w:t>
      </w:r>
    </w:p>
    <w:p w14:paraId="494DDBCC" w14:textId="4AF5F853" w:rsidR="009B0FBA" w:rsidRPr="00DE5687" w:rsidRDefault="009B0FBA" w:rsidP="00120225">
      <w:pPr>
        <w:ind w:leftChars="177" w:left="425"/>
        <w:rPr>
          <w:rFonts w:ascii="Times New Roman" w:hAnsi="Times New Roman" w:cs="Times New Roman"/>
          <w:lang w:val="es-ES"/>
        </w:rPr>
      </w:pPr>
    </w:p>
    <w:p w14:paraId="1477C5B6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ARTÍCULO III. Estructura de la Asociación</w:t>
      </w:r>
    </w:p>
    <w:p w14:paraId="51E8A604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 Junta Directiva estará compuesta por los siguientes miembros ejecutivos: Presidente (1), Secretario (1) y Tesorero (1).</w:t>
      </w:r>
    </w:p>
    <w:p w14:paraId="6535CB8E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Los miembros ejecutivos serán elegidos entre los miembros presentes en la Asamblea General Ordinaria. El mandato de cada miembro ejecutivo será de un año.</w:t>
      </w:r>
    </w:p>
    <w:p w14:paraId="5BCEFA33" w14:textId="3306216C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Las personas que desempeñan los cargos de Presidente y Secretario podrán ser reelegidos las veces que la Asamblea General decida. Sin embargo, la persona que se ocupe de la Tesorería solo podrá ser elegida en tres ocasiones consecutivas.</w:t>
      </w:r>
    </w:p>
    <w:p w14:paraId="0D3CF691" w14:textId="76CBD35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</w:p>
    <w:p w14:paraId="58144CE1" w14:textId="7EBB5521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ARTÍCULO IV. Asamblea General Ordinaria</w:t>
      </w:r>
    </w:p>
    <w:p w14:paraId="1DD62A82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 Asamblea General Ordinaria se celebrará a finales del año académico (salvo causa de fuerza mayor) y en ella se discutirán los siguientes puntos:</w:t>
      </w:r>
    </w:p>
    <w:p w14:paraId="3C297DBE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Informe de actividades e informe de contabilidad. Elección de los miembros ejecutivos del año siguiente. Decisión de la cuota anual. Modificación de los estatutos. Otros asuntos importantes.</w:t>
      </w:r>
    </w:p>
    <w:p w14:paraId="1EC9A490" w14:textId="16CB57CD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 xml:space="preserve">Se establece la figura del voto delegado para las decisiones de la Asamblea General, de tal forma que las personas que no puedan estar presentes </w:t>
      </w:r>
      <w:r w:rsidRPr="00B7289E">
        <w:rPr>
          <w:rFonts w:ascii="Times New Roman" w:hAnsi="Times New Roman" w:cs="Times New Roman"/>
          <w:lang w:val="es-ES"/>
        </w:rPr>
        <w:t>t</w:t>
      </w:r>
      <w:r w:rsidR="00D80F5E" w:rsidRPr="00B7289E">
        <w:rPr>
          <w:rFonts w:ascii="Times New Roman" w:hAnsi="Times New Roman" w:cs="Times New Roman"/>
          <w:lang w:val="es-ES"/>
        </w:rPr>
        <w:t>engan</w:t>
      </w:r>
      <w:r w:rsidRPr="00DE5687">
        <w:rPr>
          <w:rFonts w:ascii="Times New Roman" w:hAnsi="Times New Roman" w:cs="Times New Roman"/>
          <w:lang w:val="es-ES"/>
        </w:rPr>
        <w:t xml:space="preserve"> la posibilidad de delegar su voto en otro miembro que asista. </w:t>
      </w:r>
    </w:p>
    <w:p w14:paraId="38BAE72E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Las decisiones sometidas a votación se aprobarán por mayoría simple, es decir, la mitad más uno de los votos emitidos (votos presenciales + votos delegados).</w:t>
      </w:r>
    </w:p>
    <w:p w14:paraId="75439265" w14:textId="77777777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No ejercer el voto implicará la aceptación de las decisiones que se tomen en la Asamblea General.</w:t>
      </w:r>
    </w:p>
    <w:p w14:paraId="0477B96E" w14:textId="18E2F669" w:rsidR="009B0FBA" w:rsidRPr="00DE5687" w:rsidRDefault="009B0FBA" w:rsidP="009B0FBA">
      <w:pPr>
        <w:ind w:leftChars="177" w:left="425"/>
        <w:rPr>
          <w:rFonts w:ascii="Times New Roman" w:hAnsi="Times New Roman" w:cs="Times New Roman"/>
          <w:lang w:val="es-ES"/>
        </w:rPr>
      </w:pPr>
    </w:p>
    <w:p w14:paraId="2370E117" w14:textId="504C6A96" w:rsidR="004D4437" w:rsidRPr="00DE5687" w:rsidRDefault="004D4437" w:rsidP="00D55F3F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ANEJO: Estos Estatutos entran en vigor a partir del 20 de julio de 2007.</w:t>
      </w:r>
    </w:p>
    <w:p w14:paraId="3C77E7DA" w14:textId="77777777" w:rsidR="004D4437" w:rsidRPr="00DE5687" w:rsidRDefault="004D4437" w:rsidP="004D4437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 Asamblea General de abril de 2022 aprueba el importe de la nueva cuota, que será de 1500 yenes.</w:t>
      </w:r>
    </w:p>
    <w:p w14:paraId="5F066E62" w14:textId="77777777" w:rsidR="004D4437" w:rsidRPr="00DE5687" w:rsidRDefault="004D4437" w:rsidP="004D4437">
      <w:pPr>
        <w:ind w:leftChars="177" w:left="425"/>
        <w:rPr>
          <w:rFonts w:ascii="Times New Roman" w:hAnsi="Times New Roman" w:cs="Times New Roman"/>
          <w:lang w:val="es-ES"/>
        </w:rPr>
      </w:pPr>
    </w:p>
    <w:p w14:paraId="5613E9DE" w14:textId="78988521" w:rsidR="004D4437" w:rsidRPr="00DE5687" w:rsidRDefault="004D4437" w:rsidP="00D55F3F">
      <w:pPr>
        <w:ind w:leftChars="177" w:left="425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Última modificación: 13 de mayo de 2022.</w:t>
      </w:r>
    </w:p>
    <w:p w14:paraId="59447279" w14:textId="77777777" w:rsidR="009B0FBA" w:rsidRPr="00DE5687" w:rsidRDefault="009B0FBA" w:rsidP="00120225">
      <w:pPr>
        <w:ind w:leftChars="177" w:left="425"/>
        <w:rPr>
          <w:rFonts w:ascii="Times New Roman" w:hAnsi="Times New Roman" w:cs="Times New Roman"/>
          <w:lang w:val="es-ES"/>
        </w:rPr>
      </w:pPr>
    </w:p>
    <w:p w14:paraId="3B2F8457" w14:textId="77777777" w:rsidR="00120225" w:rsidRPr="00DE5687" w:rsidRDefault="00120225" w:rsidP="007408E9">
      <w:pPr>
        <w:rPr>
          <w:rFonts w:ascii="Times New Roman" w:hAnsi="Times New Roman" w:cs="Times New Roman"/>
          <w:lang w:val="es-ES"/>
        </w:rPr>
      </w:pPr>
    </w:p>
    <w:p w14:paraId="7061A2E1" w14:textId="77777777" w:rsidR="00120225" w:rsidRPr="00DE5687" w:rsidRDefault="00120225" w:rsidP="00120225">
      <w:pPr>
        <w:pStyle w:val="Prrafodelista"/>
        <w:numPr>
          <w:ilvl w:val="0"/>
          <w:numId w:val="1"/>
        </w:numPr>
        <w:ind w:leftChars="0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b/>
          <w:bCs/>
          <w:lang w:val="es-ES"/>
        </w:rPr>
        <w:t>Formulario “Delegación de voto”</w:t>
      </w:r>
    </w:p>
    <w:p w14:paraId="7225C99B" w14:textId="4006BEF3" w:rsidR="00120225" w:rsidRPr="00DE5687" w:rsidRDefault="00120225" w:rsidP="00120225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Se discutió el borrador presentado por la Junta Directiva y, después de las pertinentes modificaciones, quedó aprobado de la siguiente manera:</w:t>
      </w:r>
    </w:p>
    <w:p w14:paraId="5DD85714" w14:textId="4F917C32" w:rsidR="00120225" w:rsidRPr="00DE5687" w:rsidRDefault="00120225" w:rsidP="00120225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</w:p>
    <w:p w14:paraId="4231CBF5" w14:textId="77777777" w:rsidR="00D55F3F" w:rsidRPr="00DE5687" w:rsidRDefault="00D55F3F" w:rsidP="00D55F3F">
      <w:pPr>
        <w:pStyle w:val="Prrafodelista"/>
        <w:ind w:leftChars="0" w:left="720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F3F" w:rsidRPr="00F210A7" w14:paraId="3739D03D" w14:textId="77777777" w:rsidTr="0008098F">
        <w:tc>
          <w:tcPr>
            <w:tcW w:w="8494" w:type="dxa"/>
          </w:tcPr>
          <w:p w14:paraId="7D63E2CD" w14:textId="1A83A1D4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s-ES"/>
              </w:rPr>
            </w:pPr>
            <w:r w:rsidRPr="00DE5687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s-ES"/>
              </w:rPr>
              <w:t>Delegación de voto para la Asamblea General de GIDE</w:t>
            </w:r>
          </w:p>
          <w:p w14:paraId="35DA0B94" w14:textId="77777777" w:rsidR="009B4DD2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i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 xml:space="preserve">D./Dª.     ___________________________________    </w:t>
            </w:r>
            <w:r w:rsidRPr="00DE5687">
              <w:rPr>
                <w:rFonts w:ascii="Times New Roman" w:hAnsi="Times New Roman" w:cs="Times New Roman"/>
                <w:i/>
                <w:color w:val="000000"/>
                <w:lang w:val="es-ES"/>
              </w:rPr>
              <w:t xml:space="preserve">(Socio delegante)  </w:t>
            </w:r>
          </w:p>
          <w:p w14:paraId="7C00C123" w14:textId="46E40D2B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por la presente delego en</w:t>
            </w:r>
          </w:p>
          <w:p w14:paraId="216A696E" w14:textId="77777777" w:rsidR="009B4DD2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 xml:space="preserve">D./Dª. _____________________________________     </w:t>
            </w:r>
            <w:r w:rsidRPr="00DE5687">
              <w:rPr>
                <w:rFonts w:ascii="Times New Roman" w:hAnsi="Times New Roman" w:cs="Times New Roman"/>
                <w:i/>
                <w:color w:val="000000"/>
                <w:lang w:val="es-ES"/>
              </w:rPr>
              <w:t>(Socio delegado)</w:t>
            </w: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 xml:space="preserve">  </w:t>
            </w:r>
          </w:p>
          <w:p w14:paraId="43FE66DB" w14:textId="080420C9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 xml:space="preserve">para que me represente y vote en mi nombre en la Asamblea General </w:t>
            </w:r>
            <w:r w:rsidRPr="00DE5687">
              <w:rPr>
                <w:rFonts w:ascii="Times New Roman" w:hAnsi="Times New Roman" w:cs="Times New Roman"/>
                <w:lang w:val="es-ES"/>
              </w:rPr>
              <w:t>del</w:t>
            </w: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 xml:space="preserve"> día _______ de __________ de 20__.</w:t>
            </w:r>
          </w:p>
          <w:p w14:paraId="11BCC53D" w14:textId="77777777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  <w:p w14:paraId="11E77B4C" w14:textId="77777777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>En _________, a _____ de __________ de 20__.</w:t>
            </w:r>
          </w:p>
          <w:p w14:paraId="3FE00AA1" w14:textId="17BEA672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ind w:leftChars="600" w:left="144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>Firma/Sello</w:t>
            </w:r>
          </w:p>
          <w:p w14:paraId="1104A16D" w14:textId="77777777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ind w:firstLineChars="500" w:firstLine="1200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color w:val="000000"/>
                <w:lang w:val="es-ES"/>
              </w:rPr>
              <w:t>Socio delegante</w:t>
            </w:r>
          </w:p>
          <w:p w14:paraId="79B18B64" w14:textId="77777777" w:rsidR="00D55F3F" w:rsidRPr="00DE5687" w:rsidRDefault="00D55F3F" w:rsidP="0008098F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  <w:p w14:paraId="2B3D6F65" w14:textId="77777777" w:rsidR="00D55F3F" w:rsidRPr="00DE5687" w:rsidRDefault="00D55F3F" w:rsidP="009B4DD2">
            <w:pPr>
              <w:suppressAutoHyphens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lang w:val="es-ES"/>
              </w:rPr>
            </w:pPr>
            <w:r w:rsidRPr="00DE5687">
              <w:rPr>
                <w:rFonts w:ascii="Times New Roman" w:hAnsi="Times New Roman" w:cs="Times New Roman"/>
                <w:b/>
                <w:color w:val="000000"/>
                <w:lang w:val="es-ES"/>
              </w:rPr>
              <w:t xml:space="preserve">*El socio delegante deberá enviar este documento al correo electrónico   </w:t>
            </w:r>
            <w:hyperlink r:id="rId7" w:history="1">
              <w:r w:rsidRPr="00DE5687">
                <w:rPr>
                  <w:rStyle w:val="Hipervnculo"/>
                  <w:rFonts w:ascii="Times New Roman" w:hAnsi="Times New Roman" w:cs="Times New Roman"/>
                  <w:b/>
                  <w:lang w:val="es-ES"/>
                </w:rPr>
                <w:t>gidepresidencia@gmail.com</w:t>
              </w:r>
            </w:hyperlink>
            <w:r w:rsidRPr="00DE5687">
              <w:rPr>
                <w:rFonts w:ascii="Times New Roman" w:hAnsi="Times New Roman" w:cs="Times New Roman"/>
                <w:b/>
                <w:color w:val="000000"/>
                <w:lang w:val="es-ES"/>
              </w:rPr>
              <w:t xml:space="preserve"> , con copia (CC) para el socio delegado, al menos con un día de antelación del comienzo de la Asamblea General. </w:t>
            </w:r>
          </w:p>
          <w:p w14:paraId="6EE7371A" w14:textId="77777777" w:rsidR="00D55F3F" w:rsidRPr="00DE5687" w:rsidRDefault="00D55F3F" w:rsidP="0008098F"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3FF68E4D" w14:textId="77777777" w:rsidR="00D55F3F" w:rsidRPr="00DE5687" w:rsidRDefault="00D55F3F" w:rsidP="00D55F3F">
      <w:pPr>
        <w:pStyle w:val="Prrafodelista"/>
        <w:ind w:leftChars="0" w:left="0"/>
        <w:jc w:val="left"/>
        <w:rPr>
          <w:rFonts w:ascii="Times New Roman" w:hAnsi="Times New Roman" w:cs="Times New Roman"/>
          <w:lang w:val="es-ES"/>
        </w:rPr>
      </w:pPr>
    </w:p>
    <w:p w14:paraId="70BDE727" w14:textId="77777777" w:rsidR="00D55F3F" w:rsidRPr="00DE5687" w:rsidRDefault="00D55F3F" w:rsidP="00D55F3F">
      <w:pPr>
        <w:jc w:val="left"/>
        <w:rPr>
          <w:rFonts w:ascii="Times New Roman" w:hAnsi="Times New Roman" w:cs="Times New Roman"/>
          <w:lang w:val="es-ES"/>
        </w:rPr>
      </w:pPr>
    </w:p>
    <w:p w14:paraId="1B567384" w14:textId="5E9A5143" w:rsidR="00120225" w:rsidRPr="00DE5687" w:rsidRDefault="00120225" w:rsidP="00120225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</w:p>
    <w:p w14:paraId="612C6E06" w14:textId="5F175CC8" w:rsidR="00120225" w:rsidRPr="00DE5687" w:rsidRDefault="00120225" w:rsidP="00120225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 xml:space="preserve">También se dijo que más adelante se podrían ver otros formatos, </w:t>
      </w:r>
      <w:r w:rsidR="00531981" w:rsidRPr="00DE5687">
        <w:rPr>
          <w:rFonts w:ascii="Times New Roman" w:hAnsi="Times New Roman" w:cs="Times New Roman"/>
          <w:lang w:val="es-ES"/>
        </w:rPr>
        <w:t>como,</w:t>
      </w:r>
      <w:r w:rsidRPr="00DE5687">
        <w:rPr>
          <w:rFonts w:ascii="Times New Roman" w:hAnsi="Times New Roman" w:cs="Times New Roman"/>
          <w:lang w:val="es-ES"/>
        </w:rPr>
        <w:t xml:space="preserve"> por ejemplo, en </w:t>
      </w:r>
      <w:r w:rsidRPr="00DE5687">
        <w:rPr>
          <w:rFonts w:ascii="Times New Roman" w:hAnsi="Times New Roman" w:cs="Times New Roman"/>
          <w:i/>
          <w:iCs/>
          <w:lang w:val="es-ES"/>
        </w:rPr>
        <w:t>Google Forms</w:t>
      </w:r>
      <w:r w:rsidRPr="00DE5687">
        <w:rPr>
          <w:rFonts w:ascii="Times New Roman" w:hAnsi="Times New Roman" w:cs="Times New Roman"/>
          <w:lang w:val="es-ES"/>
        </w:rPr>
        <w:t>.</w:t>
      </w:r>
    </w:p>
    <w:p w14:paraId="7F677361" w14:textId="3EC25A55" w:rsidR="00120225" w:rsidRPr="00DE5687" w:rsidRDefault="00120225" w:rsidP="00120225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</w:p>
    <w:p w14:paraId="41103FBA" w14:textId="77777777" w:rsidR="00120225" w:rsidRPr="00DE5687" w:rsidRDefault="00120225" w:rsidP="00120225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</w:p>
    <w:p w14:paraId="66F6F9FC" w14:textId="67803924" w:rsidR="007408E9" w:rsidRPr="00DE5687" w:rsidRDefault="007408E9" w:rsidP="007408E9">
      <w:pPr>
        <w:rPr>
          <w:rFonts w:ascii="Times New Roman" w:hAnsi="Times New Roman" w:cs="Times New Roman"/>
          <w:lang w:val="es-ES"/>
        </w:rPr>
      </w:pPr>
    </w:p>
    <w:p w14:paraId="0EE7DEA0" w14:textId="43DB7489" w:rsidR="00531981" w:rsidRPr="00DE5687" w:rsidRDefault="00531981" w:rsidP="00120225">
      <w:pPr>
        <w:pStyle w:val="Prrafodelista"/>
        <w:numPr>
          <w:ilvl w:val="0"/>
          <w:numId w:val="1"/>
        </w:numPr>
        <w:ind w:leftChars="0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b/>
          <w:bCs/>
          <w:lang w:val="es-ES"/>
        </w:rPr>
        <w:lastRenderedPageBreak/>
        <w:t>A</w:t>
      </w:r>
      <w:r w:rsidR="00120225" w:rsidRPr="00DE5687">
        <w:rPr>
          <w:rFonts w:ascii="Times New Roman" w:hAnsi="Times New Roman" w:cs="Times New Roman"/>
          <w:b/>
          <w:bCs/>
          <w:lang w:val="es-ES"/>
        </w:rPr>
        <w:t xml:space="preserve">justes necesarios </w:t>
      </w:r>
      <w:r w:rsidRPr="00DE5687">
        <w:rPr>
          <w:rFonts w:ascii="Times New Roman" w:hAnsi="Times New Roman" w:cs="Times New Roman"/>
          <w:b/>
          <w:bCs/>
          <w:lang w:val="es-ES"/>
        </w:rPr>
        <w:t xml:space="preserve">en tesorería </w:t>
      </w:r>
      <w:r w:rsidR="00120225" w:rsidRPr="00DE5687">
        <w:rPr>
          <w:rFonts w:ascii="Times New Roman" w:hAnsi="Times New Roman" w:cs="Times New Roman"/>
          <w:b/>
          <w:bCs/>
          <w:lang w:val="es-ES"/>
        </w:rPr>
        <w:t>por el aumento de cuota</w:t>
      </w:r>
    </w:p>
    <w:p w14:paraId="7DF87E8C" w14:textId="42C1B6EF" w:rsidR="006F638C" w:rsidRPr="00DE5687" w:rsidRDefault="00531981" w:rsidP="00531981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La tesorera explicó que, debido al reciente aumento de la cuota y a que algunos miembros habían pagado por adelantado cuotas hasta el año 2023, se requiere hacer algunos ajustes. Se enviará un mensaje a todos los miembros para explicar los pormenores.</w:t>
      </w:r>
    </w:p>
    <w:p w14:paraId="1C93C944" w14:textId="77777777" w:rsidR="00531981" w:rsidRPr="00DE5687" w:rsidRDefault="00531981" w:rsidP="00531981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</w:p>
    <w:p w14:paraId="78BC2643" w14:textId="08D301F0" w:rsidR="007669DA" w:rsidRPr="00DE5687" w:rsidRDefault="007669DA" w:rsidP="007669DA">
      <w:pPr>
        <w:pStyle w:val="Prrafodelista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lang w:val="es-ES"/>
        </w:rPr>
      </w:pPr>
      <w:r w:rsidRPr="00DE5687">
        <w:rPr>
          <w:rFonts w:ascii="Times New Roman" w:hAnsi="Times New Roman" w:cs="Times New Roman"/>
          <w:b/>
          <w:bCs/>
          <w:lang w:val="es-ES"/>
        </w:rPr>
        <w:t>Fecha de la próxima reunión</w:t>
      </w:r>
    </w:p>
    <w:p w14:paraId="21FE1CCC" w14:textId="6614853D" w:rsidR="007669DA" w:rsidRPr="00DE5687" w:rsidRDefault="007669DA" w:rsidP="007669DA">
      <w:pPr>
        <w:pStyle w:val="Prrafodelista"/>
        <w:ind w:leftChars="0" w:left="360"/>
        <w:rPr>
          <w:rFonts w:ascii="Times New Roman" w:hAnsi="Times New Roman" w:cs="Times New Roman"/>
          <w:lang w:val="es-ES"/>
        </w:rPr>
      </w:pPr>
      <w:r w:rsidRPr="00DE5687">
        <w:rPr>
          <w:rFonts w:ascii="Times New Roman" w:hAnsi="Times New Roman" w:cs="Times New Roman"/>
          <w:lang w:val="es-ES"/>
        </w:rPr>
        <w:t>Se decidió que la fecha de la próxima reunión será el</w:t>
      </w:r>
      <w:r w:rsidR="009C7522" w:rsidRPr="00DE5687">
        <w:rPr>
          <w:rFonts w:ascii="Times New Roman" w:hAnsi="Times New Roman" w:cs="Times New Roman"/>
          <w:lang w:val="es-ES"/>
        </w:rPr>
        <w:t xml:space="preserve"> 1</w:t>
      </w:r>
      <w:r w:rsidR="00531981" w:rsidRPr="00DE5687">
        <w:rPr>
          <w:rFonts w:ascii="Times New Roman" w:hAnsi="Times New Roman" w:cs="Times New Roman"/>
          <w:lang w:val="es-ES"/>
        </w:rPr>
        <w:t>0</w:t>
      </w:r>
      <w:r w:rsidR="009C7522" w:rsidRPr="00DE5687">
        <w:rPr>
          <w:rFonts w:ascii="Times New Roman" w:hAnsi="Times New Roman" w:cs="Times New Roman"/>
          <w:lang w:val="es-ES"/>
        </w:rPr>
        <w:t xml:space="preserve"> de </w:t>
      </w:r>
      <w:r w:rsidR="00531981" w:rsidRPr="00DE5687">
        <w:rPr>
          <w:rFonts w:ascii="Times New Roman" w:hAnsi="Times New Roman" w:cs="Times New Roman"/>
          <w:lang w:val="es-ES"/>
        </w:rPr>
        <w:t>junio</w:t>
      </w:r>
      <w:r w:rsidR="009C7522" w:rsidRPr="00DE5687">
        <w:rPr>
          <w:rFonts w:ascii="Times New Roman" w:hAnsi="Times New Roman" w:cs="Times New Roman"/>
          <w:lang w:val="es-ES"/>
        </w:rPr>
        <w:t xml:space="preserve"> a las 18:30.</w:t>
      </w:r>
    </w:p>
    <w:sectPr w:rsidR="007669DA" w:rsidRPr="00DE5687" w:rsidSect="009B4DD2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6B96" w14:textId="77777777" w:rsidR="00E86930" w:rsidRDefault="00E86930" w:rsidP="00715ADF">
      <w:r>
        <w:separator/>
      </w:r>
    </w:p>
  </w:endnote>
  <w:endnote w:type="continuationSeparator" w:id="0">
    <w:p w14:paraId="03E0D883" w14:textId="77777777" w:rsidR="00E86930" w:rsidRDefault="00E86930" w:rsidP="0071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92014"/>
      <w:docPartObj>
        <w:docPartGallery w:val="Page Numbers (Bottom of Page)"/>
        <w:docPartUnique/>
      </w:docPartObj>
    </w:sdtPr>
    <w:sdtEndPr/>
    <w:sdtContent>
      <w:p w14:paraId="0578EEDB" w14:textId="53B8E19F" w:rsidR="00C96991" w:rsidRDefault="00C969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0148A3" w14:textId="77777777" w:rsidR="00C96991" w:rsidRDefault="00C96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9A7A" w14:textId="77777777" w:rsidR="00E86930" w:rsidRDefault="00E86930" w:rsidP="00715ADF">
      <w:r>
        <w:separator/>
      </w:r>
    </w:p>
  </w:footnote>
  <w:footnote w:type="continuationSeparator" w:id="0">
    <w:p w14:paraId="23B1F726" w14:textId="77777777" w:rsidR="00E86930" w:rsidRDefault="00E86930" w:rsidP="0071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C5D"/>
    <w:multiLevelType w:val="hybridMultilevel"/>
    <w:tmpl w:val="AEA46CF2"/>
    <w:lvl w:ilvl="0" w:tplc="B92EC81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9316C89"/>
    <w:multiLevelType w:val="hybridMultilevel"/>
    <w:tmpl w:val="F70E8EAC"/>
    <w:lvl w:ilvl="0" w:tplc="FF5035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6007"/>
    <w:multiLevelType w:val="hybridMultilevel"/>
    <w:tmpl w:val="6D060A86"/>
    <w:lvl w:ilvl="0" w:tplc="0B922AD0">
      <w:start w:val="1"/>
      <w:numFmt w:val="bullet"/>
      <w:lvlText w:val="–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344159D8"/>
    <w:multiLevelType w:val="hybridMultilevel"/>
    <w:tmpl w:val="0A0601BC"/>
    <w:lvl w:ilvl="0" w:tplc="18049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1E78EA"/>
    <w:multiLevelType w:val="hybridMultilevel"/>
    <w:tmpl w:val="E5269A6A"/>
    <w:lvl w:ilvl="0" w:tplc="845C3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983615">
    <w:abstractNumId w:val="1"/>
  </w:num>
  <w:num w:numId="2" w16cid:durableId="1189217109">
    <w:abstractNumId w:val="3"/>
  </w:num>
  <w:num w:numId="3" w16cid:durableId="1726446761">
    <w:abstractNumId w:val="4"/>
  </w:num>
  <w:num w:numId="4" w16cid:durableId="1106148973">
    <w:abstractNumId w:val="0"/>
  </w:num>
  <w:num w:numId="5" w16cid:durableId="65352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0B"/>
    <w:rsid w:val="00007ADB"/>
    <w:rsid w:val="00011B8B"/>
    <w:rsid w:val="00065BE0"/>
    <w:rsid w:val="00075FDC"/>
    <w:rsid w:val="0009263E"/>
    <w:rsid w:val="000C7FF8"/>
    <w:rsid w:val="00113D83"/>
    <w:rsid w:val="00120225"/>
    <w:rsid w:val="00183737"/>
    <w:rsid w:val="001D3CB6"/>
    <w:rsid w:val="001F0D97"/>
    <w:rsid w:val="00210250"/>
    <w:rsid w:val="00222960"/>
    <w:rsid w:val="00233A87"/>
    <w:rsid w:val="0024594D"/>
    <w:rsid w:val="00270960"/>
    <w:rsid w:val="002908FD"/>
    <w:rsid w:val="00295EAD"/>
    <w:rsid w:val="002B5B70"/>
    <w:rsid w:val="0032174D"/>
    <w:rsid w:val="0035130B"/>
    <w:rsid w:val="00351FC9"/>
    <w:rsid w:val="003E60F5"/>
    <w:rsid w:val="003F0E26"/>
    <w:rsid w:val="0041351F"/>
    <w:rsid w:val="00460D6F"/>
    <w:rsid w:val="004828F4"/>
    <w:rsid w:val="004D4437"/>
    <w:rsid w:val="004E5BB6"/>
    <w:rsid w:val="005032E7"/>
    <w:rsid w:val="00531981"/>
    <w:rsid w:val="00537944"/>
    <w:rsid w:val="005540B2"/>
    <w:rsid w:val="00561594"/>
    <w:rsid w:val="005871B8"/>
    <w:rsid w:val="005D7742"/>
    <w:rsid w:val="005E04DB"/>
    <w:rsid w:val="00617C19"/>
    <w:rsid w:val="006301F8"/>
    <w:rsid w:val="0066139B"/>
    <w:rsid w:val="0066382F"/>
    <w:rsid w:val="00681BBA"/>
    <w:rsid w:val="00687EC0"/>
    <w:rsid w:val="006B7DF4"/>
    <w:rsid w:val="006F638C"/>
    <w:rsid w:val="00715ADF"/>
    <w:rsid w:val="007408E9"/>
    <w:rsid w:val="007669DA"/>
    <w:rsid w:val="00767B63"/>
    <w:rsid w:val="007E2F6C"/>
    <w:rsid w:val="007E4417"/>
    <w:rsid w:val="00802ABB"/>
    <w:rsid w:val="00830158"/>
    <w:rsid w:val="00836651"/>
    <w:rsid w:val="00837927"/>
    <w:rsid w:val="00842230"/>
    <w:rsid w:val="008B01B8"/>
    <w:rsid w:val="008C0A04"/>
    <w:rsid w:val="00900BEF"/>
    <w:rsid w:val="00916D5F"/>
    <w:rsid w:val="009A3448"/>
    <w:rsid w:val="009B0FBA"/>
    <w:rsid w:val="009B4DD2"/>
    <w:rsid w:val="009C7522"/>
    <w:rsid w:val="00A27993"/>
    <w:rsid w:val="00A60EA8"/>
    <w:rsid w:val="00A7494E"/>
    <w:rsid w:val="00A7682B"/>
    <w:rsid w:val="00A9426D"/>
    <w:rsid w:val="00AC7985"/>
    <w:rsid w:val="00B7289E"/>
    <w:rsid w:val="00C302E6"/>
    <w:rsid w:val="00C55CF8"/>
    <w:rsid w:val="00C94F58"/>
    <w:rsid w:val="00C96991"/>
    <w:rsid w:val="00CC6834"/>
    <w:rsid w:val="00D55F3F"/>
    <w:rsid w:val="00D609DA"/>
    <w:rsid w:val="00D80F5E"/>
    <w:rsid w:val="00DA63B3"/>
    <w:rsid w:val="00DE221D"/>
    <w:rsid w:val="00DE5687"/>
    <w:rsid w:val="00E830D0"/>
    <w:rsid w:val="00E86930"/>
    <w:rsid w:val="00E94C07"/>
    <w:rsid w:val="00EB4C98"/>
    <w:rsid w:val="00EC362A"/>
    <w:rsid w:val="00EF792D"/>
    <w:rsid w:val="00F210A7"/>
    <w:rsid w:val="00F40EA9"/>
    <w:rsid w:val="00F71292"/>
    <w:rsid w:val="00F73063"/>
    <w:rsid w:val="00F77E69"/>
    <w:rsid w:val="00FB667B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ED0F51"/>
  <w15:chartTrackingRefBased/>
  <w15:docId w15:val="{169A4636-854D-4A88-8172-FB601CF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D83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715ADF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715ADF"/>
  </w:style>
  <w:style w:type="paragraph" w:styleId="Piedepgina">
    <w:name w:val="footer"/>
    <w:basedOn w:val="Normal"/>
    <w:link w:val="PiedepginaCar"/>
    <w:uiPriority w:val="99"/>
    <w:unhideWhenUsed/>
    <w:rsid w:val="00715ADF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F"/>
  </w:style>
  <w:style w:type="table" w:styleId="Tablaconcuadrcula">
    <w:name w:val="Table Grid"/>
    <w:basedOn w:val="Tablanormal"/>
    <w:uiPriority w:val="39"/>
    <w:rsid w:val="00D55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55F3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5FD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5FDC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5FD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5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5FDC"/>
    <w:rPr>
      <w:b/>
      <w:bCs/>
    </w:rPr>
  </w:style>
  <w:style w:type="paragraph" w:styleId="Revisin">
    <w:name w:val="Revision"/>
    <w:hidden/>
    <w:uiPriority w:val="99"/>
    <w:semiHidden/>
    <w:rsid w:val="0007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depresidenc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de Arcos Angustias</cp:lastModifiedBy>
  <cp:revision>2</cp:revision>
  <dcterms:created xsi:type="dcterms:W3CDTF">2022-05-19T02:40:00Z</dcterms:created>
  <dcterms:modified xsi:type="dcterms:W3CDTF">2022-05-19T02:40:00Z</dcterms:modified>
</cp:coreProperties>
</file>