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s-ES_tradnl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Acta y agenda de las reuniones de GIDE del 14 y del 21 de diciembre de 2018.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Helvetica" w:hAnsi="Helvetica"/>
          <w:sz w:val="29"/>
          <w:szCs w:val="29"/>
          <w:shd w:val="clear" w:color="auto" w:fill="ffffff"/>
          <w:rtl w:val="0"/>
          <w:lang w:val="es-ES_tradnl"/>
        </w:rPr>
        <w:t>GIDE 27 de diciembre de 201</w:t>
      </w:r>
      <w:r>
        <w:rPr>
          <w:rFonts w:ascii="Helvetica" w:hAnsi="Helvetica"/>
          <w:sz w:val="29"/>
          <w:szCs w:val="29"/>
          <w:shd w:val="clear" w:color="auto" w:fill="ffffff"/>
          <w:rtl w:val="0"/>
          <w:lang w:val="es-ES_tradnl"/>
        </w:rPr>
        <w:t>8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Lugar: Universidad Sof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í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</w:rPr>
        <w:t>a, sala 2-815a.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it-IT"/>
        </w:rPr>
        <w:t>Horario: 14:30-19:40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Asistieron a la reuni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de-DE"/>
        </w:rPr>
        <w:t>n: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</w:rPr>
        <w:t>Concha Moreno, Sae Ochiai, Hiroko Omori, Leidy Cotrina, Keiko Nitta, Kiyoko Masaoka, Sayaka Nakajima, Saori Kobashi, Ra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ú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l Sanz Merino , Clara Miki Kondo, Mayuko Ogura, Adiene Roque y Kimiyo Nishimura,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1. De acuerdo con lo acordado en la reuni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n del d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í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pt-PT"/>
        </w:rPr>
        <w:t>a 21 se procedi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 xml:space="preserve">ó 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a la revisi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n de las fichas de los temas 9, 10, 11 y 12.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2. La fecha l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í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mite para subir la versi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n revisada y terminada (con anexos) es el d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í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pt-PT"/>
        </w:rPr>
        <w:t>a 7 de enero.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3. Las fichas ser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á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n revisadas entre todos hasta el d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í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pt-PT"/>
        </w:rPr>
        <w:t>a 10 de enero.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4. La fecha de entrega de todos los materiales a Carlos es el 15 de enero.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20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it-IT"/>
        </w:rPr>
        <w:t>La pr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pt-PT"/>
        </w:rPr>
        <w:t>xima reuni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n se celebrar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á </w:t>
      </w:r>
      <w:r>
        <w:rPr>
          <w:rFonts w:ascii="Arial" w:hAnsi="Arial"/>
          <w:b w:val="1"/>
          <w:bCs w:val="1"/>
          <w:color w:val="222222"/>
          <w:sz w:val="20"/>
          <w:szCs w:val="20"/>
          <w:shd w:val="clear" w:color="auto" w:fill="ffffff"/>
          <w:rtl w:val="0"/>
          <w:lang w:val="es-ES_tradnl"/>
        </w:rPr>
        <w:t>el viernes 11 de enero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a las 18:30 en la Universidad Sof</w:t>
      </w: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í</w:t>
      </w:r>
      <w:r>
        <w:rPr>
          <w:rFonts w:ascii="Arial" w:hAnsi="Arial"/>
          <w:color w:val="222222"/>
          <w:sz w:val="20"/>
          <w:szCs w:val="20"/>
          <w:shd w:val="clear" w:color="auto" w:fill="ffffff"/>
          <w:rtl w:val="0"/>
          <w:lang w:val="es-ES_tradnl"/>
        </w:rPr>
        <w:t>a, en la sala 6-605.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