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highlight w:val="none"/>
          <w:rtl w:val="0"/>
        </w:rPr>
        <w:t xml:space="preserve">Actas de la reunión de GIDE del 21 de diciembre de 2012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Asistentes: Sae Ochiai, Hiroko Omori, Kimiyo Nishimura, Keiko Nitta, Kengo Matsui, Ana García, Kiyoko Masaoka, Concha Moreno y Juan Carlos Moyano.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En la reunión se trataron los siguientes puntos: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ind w:left="1080" w:hanging="360"/>
        <w:jc w:val="both"/>
      </w:pPr>
      <w:r w:rsidRPr="00000000" w:rsidR="00000000" w:rsidDel="00000000">
        <w:rPr>
          <w:highlight w:val="none"/>
          <w:rtl w:val="0"/>
        </w:rPr>
        <w:t xml:space="preserve">1.  </w:t>
      </w:r>
      <w:r w:rsidRPr="00000000" w:rsidR="00000000" w:rsidDel="00000000">
        <w:rPr>
          <w:highlight w:val="none"/>
          <w:u w:val="single"/>
          <w:rtl w:val="0"/>
        </w:rPr>
        <w:t xml:space="preserve">Mini simposio sobre el Modelo de contenidos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highlight w:val="none"/>
          <w:rtl w:val="0"/>
        </w:rPr>
        <w:t xml:space="preserve">El simposio se llevará a cabo el día 23 de febrero de 2013, de 14:00 a 17:00 en la Universidad de Sofía, en la sala 203 del edificio 12.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El profesor Yasuhiko Tohsaku, de la Universidad de California, San Diego, especialista en adquisición y enseñanza de segundas lenguas (http://irps.ucsd.edu/faculty/faculty-directory/yasuhiko-tohsaku.htm), y el profesor Noritaka Fukushima ya han confirmado su asistencia al simposio y ambos darán una conferencia. Ambas comunicaciones serán en japonés.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Para que los dos profesores puedan leer antes la tabla de contenidos, se les enviará una copia a finales de enero. Por ello se decidió convocar una reunión extraordinaria el 14 de enero para terminar de evaluar la tabla de contenidos gramaticales y la de contenidos culturales.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ind w:left="1080" w:hanging="360"/>
        <w:jc w:val="both"/>
      </w:pPr>
      <w:r w:rsidRPr="00000000" w:rsidR="00000000" w:rsidDel="00000000">
        <w:rPr>
          <w:highlight w:val="none"/>
          <w:rtl w:val="0"/>
        </w:rPr>
        <w:t xml:space="preserve">2.  </w:t>
      </w:r>
      <w:r w:rsidRPr="00000000" w:rsidR="00000000" w:rsidDel="00000000">
        <w:rPr>
          <w:highlight w:val="none"/>
          <w:u w:val="single"/>
          <w:rtl w:val="0"/>
        </w:rPr>
        <w:t xml:space="preserve">Tablas de contenidos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En la reunión se corrigieron los contenidos gramaticales de los temas 3 y 4.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Cada miembro encargado de revisar un tema lo volverá a revisar para la reunión extraordinaria teniendo en cuenta los últimos criterios adoptados, con el fin de acelerar la revisión de la tabla de contenidos y poder terminarla en la reunión del 14 de enero. La distribución de los temas sigue siendo la misma: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5: Kiyoko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6: Kimi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7: Sae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8: Concha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9: Hiroko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10:  Sae y Pili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11: Keiko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Tema 12: Ana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Cada uno irá haciendo cambios en el mismo documento llamado “Tabla de contenidos_diciembre de 2012” que está colgado en la página de GIDE, en Google Drive.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highlight w:val="none"/>
          <w:rtl w:val="0"/>
        </w:rPr>
        <w:t xml:space="preserve">Próximas reuniones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Las próximas reuniones serán el </w:t>
      </w:r>
      <w:r w:rsidRPr="00000000" w:rsidR="00000000" w:rsidDel="00000000">
        <w:rPr>
          <w:b w:val="1"/>
          <w:highlight w:val="none"/>
          <w:u w:val="single"/>
          <w:rtl w:val="0"/>
        </w:rPr>
        <w:t xml:space="preserve">lunes 14 de enero, a partir de las 10:00 de la mañana</w:t>
      </w:r>
      <w:r w:rsidRPr="00000000" w:rsidR="00000000" w:rsidDel="00000000">
        <w:rPr>
          <w:highlight w:val="none"/>
          <w:rtl w:val="0"/>
        </w:rPr>
        <w:t xml:space="preserve">, en la Universidad de Sofía (el aula está por confirmar) y el </w:t>
      </w:r>
      <w:r w:rsidRPr="00000000" w:rsidR="00000000" w:rsidDel="00000000">
        <w:rPr>
          <w:b w:val="1"/>
          <w:highlight w:val="none"/>
          <w:u w:val="single"/>
          <w:rtl w:val="0"/>
        </w:rPr>
        <w:t xml:space="preserve">25 de enero</w:t>
      </w:r>
      <w:r w:rsidRPr="00000000" w:rsidR="00000000" w:rsidDel="00000000">
        <w:rPr>
          <w:highlight w:val="none"/>
          <w:rtl w:val="0"/>
        </w:rPr>
        <w:t xml:space="preserve"> en la Universidad de Sofía, en el aula de siempre de 17:30 a 19:30.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El </w:t>
      </w:r>
      <w:r w:rsidRPr="00000000" w:rsidR="00000000" w:rsidDel="00000000">
        <w:rPr>
          <w:b w:val="1"/>
          <w:highlight w:val="none"/>
          <w:u w:val="single"/>
          <w:rtl w:val="0"/>
        </w:rPr>
        <w:t xml:space="preserve">sábado 19 de enero</w:t>
      </w:r>
      <w:r w:rsidRPr="00000000" w:rsidR="00000000" w:rsidDel="00000000">
        <w:rPr>
          <w:highlight w:val="none"/>
          <w:rtl w:val="0"/>
        </w:rPr>
        <w:t xml:space="preserve"> tendrá lugar una </w:t>
      </w:r>
      <w:r w:rsidRPr="00000000" w:rsidR="00000000" w:rsidDel="00000000">
        <w:rPr>
          <w:b w:val="1"/>
          <w:highlight w:val="none"/>
          <w:u w:val="single"/>
          <w:rtl w:val="0"/>
        </w:rPr>
        <w:t xml:space="preserve">reunión de lectura</w:t>
      </w:r>
      <w:r w:rsidRPr="00000000" w:rsidR="00000000" w:rsidDel="00000000">
        <w:rPr>
          <w:highlight w:val="none"/>
          <w:rtl w:val="0"/>
        </w:rPr>
        <w:t xml:space="preserve"> sobre didáctica de ELE bajo la dirección de la profesora Concha Moreno a la que todos están invitados.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La lectura girará en torno al libro </w:t>
      </w:r>
      <w:r w:rsidRPr="00000000" w:rsidR="00000000" w:rsidDel="00000000">
        <w:rPr>
          <w:i w:val="1"/>
          <w:highlight w:val="none"/>
          <w:rtl w:val="0"/>
        </w:rPr>
        <w:t xml:space="preserve">Materiales, estrategias y recursos para la enseñanza del español como 2/L</w:t>
      </w:r>
      <w:r w:rsidRPr="00000000" w:rsidR="00000000" w:rsidDel="00000000">
        <w:rPr>
          <w:highlight w:val="none"/>
          <w:rtl w:val="0"/>
        </w:rPr>
        <w:t xml:space="preserve"> (2011, Madrid, Arco Libros), del que es autora la Prof. Concha Moreno García, y tiene como objetivo orientar a los asistentes sobre actividades didácticas destinadas a la enseñanza del español como lengua extranjera.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highlight w:val="none"/>
          <w:rtl w:val="0"/>
        </w:rPr>
        <w:t xml:space="preserve">Fecha: Sábado, 19 de enero de 2013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highlight w:val="none"/>
          <w:rtl w:val="0"/>
        </w:rPr>
        <w:t xml:space="preserve">Hora:</w:t>
      </w:r>
      <w:r w:rsidRPr="00000000" w:rsidR="00000000" w:rsidDel="00000000">
        <w:rPr>
          <w:highlight w:val="none"/>
          <w:rtl w:val="0"/>
        </w:rPr>
        <w:t xml:space="preserve"> </w:t>
      </w:r>
      <w:r w:rsidRPr="00000000" w:rsidR="00000000" w:rsidDel="00000000">
        <w:rPr>
          <w:b w:val="1"/>
          <w:highlight w:val="none"/>
          <w:rtl w:val="0"/>
        </w:rPr>
        <w:t xml:space="preserve">14:00-17:00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b w:val="1"/>
          <w:highlight w:val="none"/>
          <w:rtl w:val="0"/>
        </w:rPr>
        <w:t xml:space="preserve">Lugar: Universidad Sofía, Sala 9-354 (Edificio 9, 3a planta)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 </w:t>
      </w:r>
    </w:p>
    <w:p w:rsidP="00000000" w:rsidRPr="00000000" w:rsidR="00000000" w:rsidDel="00000000" w:rsidRDefault="00000000">
      <w:pPr>
        <w:jc w:val="both"/>
      </w:pPr>
      <w:r w:rsidRPr="00000000" w:rsidR="00000000" w:rsidDel="00000000">
        <w:rPr>
          <w:highlight w:val="none"/>
          <w:rtl w:val="0"/>
        </w:rPr>
        <w:t xml:space="preserve">En esta ocasión nos centraremos en el capítulo 11 (Creación y explotación de materiales para la comprensión lectora).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36"/>
      <w:highlight w:val="none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28"/>
      <w:highlight w:val="none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color w:val="666666"/>
      <w:sz w:val="24"/>
      <w:highlight w:val="none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i w:val="1"/>
      <w:color w:val="666666"/>
      <w:sz w:val="22"/>
      <w:highlight w:val="none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color w:val="666666"/>
      <w:sz w:val="20"/>
      <w:highlight w:val="none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i w:val="1"/>
      <w:color w:val="666666"/>
      <w:sz w:val="20"/>
      <w:highlight w:val="none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  <w:highlight w:val="none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 21 de diciembre de 2012.docx</dc:title>
</cp:coreProperties>
</file>